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Global Response Platform India Action Group: meeting notes</w:t>
      </w:r>
    </w:p>
    <w:p w:rsidR="00000000" w:rsidDel="00000000" w:rsidP="00000000" w:rsidRDefault="00000000" w:rsidRPr="00000000" w14:paraId="00000004">
      <w:pPr>
        <w:spacing w:after="8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21 April 2026</w:t>
      </w:r>
      <w:r w:rsidDel="00000000" w:rsidR="00000000" w:rsidRPr="00000000">
        <w:rPr>
          <w:b w:val="1"/>
          <w:bCs w:val="1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rgdf4bc367r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UNHCR Briefing presentation can be found </w:t>
      </w:r>
      <w:hyperlink r:id="rId6">
        <w:r w:rsidDel="00000000" w:rsidR="00000000" w:rsidRPr="00000000">
          <w:rPr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0k8869d2n41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Meeting Overview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Second Global Response Platform session on India hosted by Mosaik in partnership with UNHCR India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Smaller group format designed for dialogue and discussion rather than just presentation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grbg1cvl6qa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Context: UK Visa Route Suspension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UK Home Office recently suspended study visa routes for students from Myanmar and Afghanistan (plus two other countries)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Students from these countries can no longer access Chevening and other UK study opportunities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Supporting students in India offers opportunity to mitigate impact of visa suspension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Large refugee communities in India are primarily from Myanmar and Afghanistan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4syv342q4jw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Refugee Population in India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Total of 249,000+ refugees in India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47,000 refugees registered directly with UNHCR, primarily from Afghanistan, Myanmar, and other African and Middle East countries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50,000+ refugees in refugee-like situations in northeastern states but unable to access UNHCR registration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Tibetan and Sri Lankan Tamil refugees supported directly by Indian government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UNHCR's work focuses specifically on the 47,000 registered population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Approximately 1,000 scholars have been profiled for potential higher education pathways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a3ts313xx3y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UNHCR Support Infrastructure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Digital Higher Education (DHE) Initiative with two dedicated learning centers in India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Learning centers provide:</w:t>
      </w:r>
    </w:p>
    <w:p w:rsidR="00000000" w:rsidDel="00000000" w:rsidP="00000000" w:rsidRDefault="00000000" w:rsidRPr="00000000" w14:paraId="00000018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Psychosocial and well-being support</w:t>
      </w:r>
    </w:p>
    <w:p w:rsidR="00000000" w:rsidDel="00000000" w:rsidP="00000000" w:rsidRDefault="00000000" w:rsidRPr="00000000" w14:paraId="0000001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Academic level English coaching resources</w:t>
      </w:r>
    </w:p>
    <w:p w:rsidR="00000000" w:rsidDel="00000000" w:rsidP="00000000" w:rsidRDefault="00000000" w:rsidRPr="00000000" w14:paraId="0000001A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Additional financial support for learners unable to access centers</w:t>
      </w:r>
    </w:p>
    <w:p w:rsidR="00000000" w:rsidDel="00000000" w:rsidP="00000000" w:rsidRDefault="00000000" w:rsidRPr="00000000" w14:paraId="0000001B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Pre-screening and scholar identification support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Monitoring and evaluation framework tracks scholar progress and provides insights to partner universities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Network of implementing partners on the ground, including Bosco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Current academic English support is primarily signposting to free resources (Coursera, Alison) but needs more structured handholding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xjfctejjvs8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English Language Proficiency Gap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Many scholars have taken Duolingo English Test but scores are below typical UK university entry requirements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King's requires IELTS 6 minimum for pre-sessional entry, with most students needing IELTS 7 for final course entry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Standard progression: 5 weeks intensive full-time study = 0.5 IELTS band increase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Longest pre-sessional at King's is 16 weeks, taking students up 1.5 bands maximum (from 5.5 to 7.0)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Significant gap identified: many scholars not yet at pre-sessional entry level, requiring bridging courses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UNHCR has IELTS vouchers available through partnership with IELTS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Opportunity to link IELTS vouchers with preparation courses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n9d1sgji4d5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Future-Ready Skills Focus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UNHCR analyzed QS World Future Skills Index, Times Higher Education reporting, and McKinsey Global Institute data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Focus on ensuring courses translate into employment opportunities 5+ years from graduation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Key growth areas identified: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60% growth in AI skills demand by 2030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35% growth in digital skills demand by 2030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24 million new green jobs expected globally by 2030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375 million workers globally will need to switch occupational categories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Scholar interests align with future skills: AI literacy, applied data sciences, digital economy, green transition skills, business analytics, entrepreneurship, healthcare technology, global health, academic and professional English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Example partnership: MIT universal AI course → RoboCoop training → remote working opportunities → potential labor mobility pathways to Japan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kwy8xacu6bd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India TNE Framework Opportunity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India's Transnational Education (TNE) regulatory framework is progressive and enables UK partnerships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Many UK universities opening branch campuses or partnerships in India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TNE campuses/programs offer viable alternative for refugee scholars who cannot access UK study visas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India has established pathways for referrals and measuring impact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India not signatory to refugee convention, but has Sustainable Development Goals Cooperation framework with UN identifying refugees as most marginalized communities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3btevr2rmm5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UNHCR Partnership Model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UNHCR works toward "15 by 30" target: 15% of refugees in higher education by 2030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Prioritizes long-term partnerships with universities (examples: University of Geneva, University of Oslo)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Partnership with Mosaik and Global Response Platform focuses on what higher education looks like off-campus in low/middle income countries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Benefits to universities: research opportunities, funding opportunities, visibility and reputation, SDG alignment, social responsibility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UNHCR role: cover capital costs and operational costs (transportation, connectivity, laptops, student support) that universities struggle to budget for outside main campus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"Each One Take One" global solidarity movement mobilizes universities with country partners like Mosaik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UNHCR and partners can provide: pre-screening, scholar identification, monitoring and evaluation, progress reporting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hge9fvx7jxd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What UNHCR Is Asking From Universities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Dedicated scholarship allocations at branch campuses or partner institutions in India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online courses through the DHE learning centers with full support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Forward-looking courses aligned with future job market demands to enable self-reliance and end displacement cycle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Foundational programs and pathway programs that can sequence toward other opportunities (RSSP Australia, UniCore France, GST, labor mobility pathways)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Multiple formats: language provision, undergraduate support, postgraduate support, shorter courses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Universities asked to consider what additional information needed to take proposals to committees/colleagues for approval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Request for universities to identify who else from their institutions should be brought into conversations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96g50lwpzix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Next Steps &amp; Timeline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Some universities have already committed courses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Goal: work with small group of universities to get activities started as proof of concept for wider sector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Work will be both one-to-one with universities and as a group when necessary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Other pre-sessionals starting in coming months, with autumn enrollment for other programs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Need a few months for recruitment and selection support, so commitments needed fairly soon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Universities to have internal discussions and bring back responses with follow-up questions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Future calls and updates will be shared with all participants</w:t>
      </w:r>
    </w:p>
    <w:p w:rsidR="00000000" w:rsidDel="00000000" w:rsidP="00000000" w:rsidRDefault="00000000" w:rsidRPr="00000000" w14:paraId="0000004F">
      <w:pPr>
        <w:spacing w:after="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Items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UNHCR to provide detailed breakdown of English test scores (</w:t>
      </w:r>
      <w:hyperlink w:anchor="os7pm245r1rw">
        <w:r w:rsidDel="00000000" w:rsidR="00000000" w:rsidRPr="00000000">
          <w:rPr>
            <w:color w:val="1155cc"/>
            <w:u w:val="single"/>
            <w:rtl w:val="0"/>
          </w:rPr>
          <w:t xml:space="preserve">below</w:t>
        </w:r>
      </w:hyperlink>
      <w:r w:rsidDel="00000000" w:rsidR="00000000" w:rsidRPr="00000000">
        <w:rPr>
          <w:rtl w:val="0"/>
        </w:rPr>
        <w:t xml:space="preserve">), particularly students at IELTS 6 or 5.5 equivalent level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Mosaik to explore English language bridging courses for students below pre-sessional entry requirements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UNHCR to explore linking IELTS vouchers with English preparation courses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universities to identify specific courses and programs they can offer (undergraduate, postgraduate, short courses, pre-sessional)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Mosaik to follow up individually with universities on course commitments in near future</w:t>
      </w:r>
    </w:p>
    <w:p w:rsidR="00000000" w:rsidDel="00000000" w:rsidP="00000000" w:rsidRDefault="00000000" w:rsidRPr="00000000" w14:paraId="0000005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bookmarkStart w:colFirst="0" w:colLast="0" w:name="os7pm245r1rw" w:id="11"/>
    <w:bookmarkEnd w:id="11"/>
    <w:p w:rsidR="00000000" w:rsidDel="00000000" w:rsidP="00000000" w:rsidRDefault="00000000" w:rsidRPr="00000000" w14:paraId="00000056">
      <w:pPr>
        <w:shd w:fill="ffffff" w:val="clea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Annex: UNHCR Breakdown of DET /  IELTS test level</w:t>
      </w:r>
    </w:p>
    <w:p w:rsidR="00000000" w:rsidDel="00000000" w:rsidP="00000000" w:rsidRDefault="00000000" w:rsidRPr="00000000" w14:paraId="00000057">
      <w:pPr>
        <w:shd w:fill="ffffff" w:val="clear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Approximately 298 scholars have achieved a score of 95 or above on the Duolingo English Test, which is equivalent to an IELTS score of 5.5 or higher.</w:t>
      </w:r>
    </w:p>
    <w:p w:rsidR="00000000" w:rsidDel="00000000" w:rsidP="00000000" w:rsidRDefault="00000000" w:rsidRPr="00000000" w14:paraId="0000005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tbl>
      <w:tblPr>
        <w:tblStyle w:val="Table1"/>
        <w:tblW w:w="6780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1050"/>
        <w:gridCol w:w="1650"/>
        <w:gridCol w:w="1470"/>
        <w:gridCol w:w="1470"/>
        <w:gridCol w:w="1140"/>
        <w:tblGridChange w:id="0">
          <w:tblGrid>
            <w:gridCol w:w="1050"/>
            <w:gridCol w:w="1650"/>
            <w:gridCol w:w="1470"/>
            <w:gridCol w:w="1470"/>
            <w:gridCol w:w="11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DET Score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IELTS Equivalent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No. of scholars</w:t>
              <w:br w:type="textWrapping"/>
              <w:t xml:space="preserve">applied for PG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No. of scholars</w:t>
              <w:br w:type="textWrapping"/>
              <w:t xml:space="preserve">applied for UG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Grand Total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95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28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41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42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44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40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6.5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37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6.5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7.5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5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7.5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Grand Total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179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298</w:t>
            </w:r>
          </w:p>
        </w:tc>
      </w:tr>
    </w:tbl>
    <w:p w:rsidR="00000000" w:rsidDel="00000000" w:rsidP="00000000" w:rsidRDefault="00000000" w:rsidRPr="00000000" w14:paraId="0000009B">
      <w:pPr>
        <w:spacing w:after="240" w:befor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4416750</wp:posOffset>
          </wp:positionH>
          <wp:positionV relativeFrom="paragraph">
            <wp:posOffset>142875</wp:posOffset>
          </wp:positionV>
          <wp:extent cx="1309688" cy="315144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3151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38100</wp:posOffset>
          </wp:positionV>
          <wp:extent cx="1628775" cy="41910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24123" l="10048" r="8134" t="23571"/>
                  <a:stretch>
                    <a:fillRect/>
                  </a:stretch>
                </pic:blipFill>
                <pic:spPr>
                  <a:xfrm>
                    <a:off x="0" y="0"/>
                    <a:ext cx="1628775" cy="419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mosaik.ngo/wp-content/uploads/2026/05/India_Action_Group_Presentation-UK-1-1.pptx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